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440"/>
        <w:jc w:val="left"/>
      </w:pPr>
      <w:r>
        <w:rPr>
          <w:rFonts w:ascii="Inter" w:hAnsi="Inter"/>
          <w:b/>
          <w:color w:val="4F6F8F"/>
          <w:sz w:val="20"/>
        </w:rPr>
        <w:t>CLOSED-BOOK REASONING BENCHMARK</w:t>
      </w:r>
    </w:p>
    <w:p>
      <w:pPr>
        <w:pStyle w:val="Title"/>
      </w:pPr>
      <w:r>
        <w:t>FINITE MULTIVERSE</w:t>
      </w:r>
    </w:p>
    <w:p>
      <w:pPr>
        <w:pStyle w:val="Subtitle"/>
      </w:pPr>
      <w:r>
        <w:t>Hard-SF Premise Benchmark Prompt</w:t>
      </w:r>
    </w:p>
    <w:p/>
    <w:tbl>
      <w:tblPr>
        <w:tblW w:type="auto" w:w="0"/>
        <w:jc w:val="left"/>
        <w:tblLayout w:type="fixed"/>
        <w:tblLook w:firstColumn="1" w:firstRow="1" w:lastColumn="0" w:lastRow="0" w:noHBand="0" w:noVBand="1" w:val="04A0"/>
        <w:tblBorders>
          <w:top w:val="single" w:sz="6" w:space="0" w:color="4F6F8F"/>
          <w:left w:val="single" w:sz="6" w:space="0" w:color="4F6F8F"/>
          <w:bottom w:val="single" w:sz="6" w:space="0" w:color="4F6F8F"/>
          <w:right w:val="single" w:sz="6" w:space="0" w:color="4F6F8F"/>
          <w:insideH w:val="single" w:sz="6" w:space="0" w:color="4F6F8F"/>
          <w:insideV w:val="single" w:sz="6" w:space="0" w:color="4F6F8F"/>
        </w:tblBorders>
      </w:tblPr>
      <w:tblGrid>
        <w:gridCol w:w="9878"/>
      </w:tblGrid>
      <w:tr>
        <w:tc>
          <w:tcPr>
            <w:tcW w:type="dxa" w:w="9288"/>
            <w:shd w:fill="EAF1F6"/>
            <w:tcMar>
              <w:top w:w="180" w:type="dxa"/>
              <w:start w:w="220" w:type="dxa"/>
              <w:bottom w:w="180" w:type="dxa"/>
              <w:end w:w="220" w:type="dxa"/>
            </w:tcMar>
          </w:tcPr>
          <w:p>
            <w:pPr>
              <w:spacing w:after="0"/>
            </w:pPr>
            <w:r>
              <w:rPr>
                <w:rFonts w:ascii="Noto Serif" w:hAnsi="Noto Serif"/>
                <w:i/>
                <w:color w:val="18242F"/>
                <w:sz w:val="22"/>
              </w:rPr>
              <w:t>A copy-ready prompt for comparing how well language models can turn a sparse speculative seed into a plausible, constrained hard science-fiction mechanism and plot. The prompt intentionally withholds the detailed causal-projector solution developed in the companion dossier.</w:t>
            </w:r>
          </w:p>
        </w:tc>
      </w:tr>
    </w:tbl>
    <w:p>
      <w:pPr>
        <w:spacing w:before="2800" w:after="0"/>
      </w:pPr>
      <w:r>
        <w:rPr>
          <w:rFonts w:ascii="Inter" w:hAnsi="Inter"/>
          <w:color w:val="596775"/>
          <w:sz w:val="18"/>
        </w:rPr>
        <w:t>Working edition - 10 July 2026</w:t>
      </w:r>
    </w:p>
    <w:p>
      <w:r>
        <w:br w:type="page"/>
      </w:r>
    </w:p>
    <w:p>
      <w:pPr>
        <w:pStyle w:val="Heading1"/>
        <w:keepNext/>
        <w:keepLines/>
      </w:pPr>
      <w:r>
        <w:t>Benchmark use</w:t>
      </w:r>
    </w:p>
    <w:p>
      <w:pPr>
        <w:widowControl w:val="1"/>
      </w:pPr>
      <w:r>
        <w:rPr>
          <w:rFonts w:ascii="Noto Serif" w:hAnsi="Noto Serif"/>
          <w:i w:val="0"/>
        </w:rPr>
        <w:t>Run the prompt unchanged across models when possible. Use a fresh conversation and do not provide the companion dossier. For a cleaner comparison, disable browsing, retrieval, and hidden reference files. Models should be judged on causal reasoning, scientific restraint, falsifiable intermediate predictions, and integration of mechanism with character and plot, not on confident jargon.</w:t>
      </w:r>
    </w:p>
    <w:tbl>
      <w:tblPr>
        <w:tblW w:type="auto" w:w="0"/>
        <w:jc w:val="center"/>
        <w:tblLayout w:type="fixed"/>
        <w:tblLook w:firstColumn="1" w:firstRow="1" w:lastColumn="0" w:lastRow="0" w:noHBand="0" w:noVBand="1" w:val="04A0"/>
        <w:tblBorders>
          <w:top w:val="single" w:sz="4" w:space="0" w:color="C7D2DC"/>
          <w:left w:val="single" w:sz="4" w:space="0" w:color="C7D2DC"/>
          <w:bottom w:val="single" w:sz="4" w:space="0" w:color="C7D2DC"/>
          <w:right w:val="single" w:sz="4" w:space="0" w:color="C7D2DC"/>
          <w:insideH w:val="single" w:sz="4" w:space="0" w:color="C7D2DC"/>
          <w:insideV w:val="single" w:sz="4" w:space="0" w:color="C7D2DC"/>
        </w:tblBorders>
      </w:tblPr>
      <w:tblGrid>
        <w:gridCol w:w="4939"/>
        <w:gridCol w:w="4939"/>
      </w:tblGrid>
      <w:tr>
        <w:trPr>
          <w:tblHeader w:val="true"/>
        </w:trPr>
        <w:tc>
          <w:tcPr>
            <w:tcW w:type="dxa" w:w="1944"/>
            <w:shd w:fill="244A6D"/>
            <w:tcMar>
              <w:top w:w="90" w:type="dxa"/>
              <w:start w:w="100" w:type="dxa"/>
              <w:bottom w:w="90" w:type="dxa"/>
              <w:end w:w="100" w:type="dxa"/>
            </w:tcMar>
            <w:vAlign w:val="center"/>
          </w:tcPr>
          <w:p>
            <w:pPr>
              <w:jc w:val="left"/>
            </w:pPr>
            <w:r>
              <w:rPr>
                <w:rFonts w:ascii="Inter" w:hAnsi="Inter"/>
                <w:b/>
                <w:color w:val="FFFFFF"/>
                <w:sz w:val="17"/>
              </w:rPr>
              <w:t>Mode</w:t>
            </w:r>
          </w:p>
        </w:tc>
        <w:tc>
          <w:tcPr>
            <w:tcW w:type="dxa" w:w="7272"/>
            <w:shd w:fill="244A6D"/>
            <w:tcMar>
              <w:top w:w="90" w:type="dxa"/>
              <w:start w:w="100" w:type="dxa"/>
              <w:bottom w:w="90" w:type="dxa"/>
              <w:end w:w="100" w:type="dxa"/>
            </w:tcMar>
            <w:vAlign w:val="center"/>
          </w:tcPr>
          <w:p>
            <w:pPr>
              <w:jc w:val="left"/>
            </w:pPr>
            <w:r>
              <w:rPr>
                <w:rFonts w:ascii="Inter" w:hAnsi="Inter"/>
                <w:b/>
                <w:color w:val="FFFFFF"/>
                <w:sz w:val="17"/>
              </w:rPr>
              <w:t>Recommendation</w:t>
            </w:r>
          </w:p>
        </w:tc>
      </w:tr>
      <w:tr>
        <w:tc>
          <w:tcPr>
            <w:tcW w:type="dxa" w:w="1944"/>
            <w:shd w:fill="FFFFFF"/>
            <w:tcMar>
              <w:top w:w="90" w:type="dxa"/>
              <w:start w:w="100" w:type="dxa"/>
              <w:bottom w:w="90" w:type="dxa"/>
              <w:end w:w="100" w:type="dxa"/>
            </w:tcMar>
            <w:vAlign w:val="top"/>
          </w:tcPr>
          <w:p>
            <w:pPr>
              <w:spacing w:after="0"/>
            </w:pPr>
            <w:r>
              <w:rPr>
                <w:rFonts w:ascii="Noto Serif" w:hAnsi="Noto Serif"/>
                <w:color w:val="18242F"/>
                <w:sz w:val="17"/>
              </w:rPr>
              <w:t>Primary</w:t>
            </w:r>
          </w:p>
        </w:tc>
        <w:tc>
          <w:tcPr>
            <w:tcW w:type="dxa" w:w="7272"/>
            <w:shd w:fill="FFFFFF"/>
            <w:tcMar>
              <w:top w:w="90" w:type="dxa"/>
              <w:start w:w="100" w:type="dxa"/>
              <w:bottom w:w="90" w:type="dxa"/>
              <w:end w:w="100" w:type="dxa"/>
            </w:tcMar>
            <w:vAlign w:val="top"/>
          </w:tcPr>
          <w:p>
            <w:pPr>
              <w:spacing w:after="0"/>
            </w:pPr>
            <w:r>
              <w:rPr>
                <w:rFonts w:ascii="Noto Serif" w:hAnsi="Noto Serif"/>
                <w:color w:val="18242F"/>
                <w:sz w:val="17"/>
              </w:rPr>
              <w:t>Closed-book. No browsing or tools. Target 2,500-4,000 words.</w:t>
            </w:r>
          </w:p>
        </w:tc>
      </w:tr>
      <w:tr>
        <w:tc>
          <w:tcPr>
            <w:tcW w:type="dxa" w:w="1944"/>
            <w:shd w:fill="F5F7F9"/>
            <w:tcMar>
              <w:top w:w="90" w:type="dxa"/>
              <w:start w:w="100" w:type="dxa"/>
              <w:bottom w:w="90" w:type="dxa"/>
              <w:end w:w="100" w:type="dxa"/>
            </w:tcMar>
            <w:vAlign w:val="top"/>
          </w:tcPr>
          <w:p>
            <w:pPr>
              <w:spacing w:after="0"/>
            </w:pPr>
            <w:r>
              <w:rPr>
                <w:rFonts w:ascii="Noto Serif" w:hAnsi="Noto Serif"/>
                <w:color w:val="18242F"/>
                <w:sz w:val="17"/>
              </w:rPr>
              <w:t>Optional open-book</w:t>
            </w:r>
          </w:p>
        </w:tc>
        <w:tc>
          <w:tcPr>
            <w:tcW w:type="dxa" w:w="7272"/>
            <w:shd w:fill="F5F7F9"/>
            <w:tcMar>
              <w:top w:w="90" w:type="dxa"/>
              <w:start w:w="100" w:type="dxa"/>
              <w:bottom w:w="90" w:type="dxa"/>
              <w:end w:w="100" w:type="dxa"/>
            </w:tcMar>
            <w:vAlign w:val="top"/>
          </w:tcPr>
          <w:p>
            <w:pPr>
              <w:spacing w:after="0"/>
            </w:pPr>
            <w:r>
              <w:rPr>
                <w:rFonts w:ascii="Noto Serif" w:hAnsi="Noto Serif"/>
                <w:color w:val="18242F"/>
                <w:sz w:val="17"/>
              </w:rPr>
              <w:t>Allow primary-source lookup, but require the model to separate established results from speculation and cite every scientific anchor.</w:t>
            </w:r>
          </w:p>
        </w:tc>
      </w:tr>
      <w:tr>
        <w:tc>
          <w:tcPr>
            <w:tcW w:type="dxa" w:w="1944"/>
            <w:shd w:fill="FFFFFF"/>
            <w:tcMar>
              <w:top w:w="90" w:type="dxa"/>
              <w:start w:w="100" w:type="dxa"/>
              <w:bottom w:w="90" w:type="dxa"/>
              <w:end w:w="100" w:type="dxa"/>
            </w:tcMar>
            <w:vAlign w:val="top"/>
          </w:tcPr>
          <w:p>
            <w:pPr>
              <w:spacing w:after="0"/>
            </w:pPr>
            <w:r>
              <w:rPr>
                <w:rFonts w:ascii="Noto Serif" w:hAnsi="Noto Serif"/>
                <w:color w:val="18242F"/>
                <w:sz w:val="17"/>
              </w:rPr>
              <w:t>Comparison rule</w:t>
            </w:r>
          </w:p>
        </w:tc>
        <w:tc>
          <w:tcPr>
            <w:tcW w:type="dxa" w:w="7272"/>
            <w:shd w:fill="FFFFFF"/>
            <w:tcMar>
              <w:top w:w="90" w:type="dxa"/>
              <w:start w:w="100" w:type="dxa"/>
              <w:bottom w:w="90" w:type="dxa"/>
              <w:end w:w="100" w:type="dxa"/>
            </w:tcMar>
            <w:vAlign w:val="top"/>
          </w:tcPr>
          <w:p>
            <w:pPr>
              <w:spacing w:after="0"/>
            </w:pPr>
            <w:r>
              <w:rPr>
                <w:rFonts w:ascii="Noto Serif" w:hAnsi="Noto Serif"/>
                <w:color w:val="18242F"/>
                <w:sz w:val="17"/>
              </w:rPr>
              <w:t>Do not add follow-up hints. Score the first complete response.</w:t>
            </w:r>
          </w:p>
        </w:tc>
      </w:tr>
      <w:tr>
        <w:tc>
          <w:tcPr>
            <w:tcW w:type="dxa" w:w="1944"/>
            <w:shd w:fill="F5F7F9"/>
            <w:tcMar>
              <w:top w:w="90" w:type="dxa"/>
              <w:start w:w="100" w:type="dxa"/>
              <w:bottom w:w="90" w:type="dxa"/>
              <w:end w:w="100" w:type="dxa"/>
            </w:tcMar>
            <w:vAlign w:val="top"/>
          </w:tcPr>
          <w:p>
            <w:pPr>
              <w:spacing w:after="0"/>
            </w:pPr>
            <w:r>
              <w:rPr>
                <w:rFonts w:ascii="Noto Serif" w:hAnsi="Noto Serif"/>
                <w:color w:val="18242F"/>
                <w:sz w:val="17"/>
              </w:rPr>
              <w:t>Style rule</w:t>
            </w:r>
          </w:p>
        </w:tc>
        <w:tc>
          <w:tcPr>
            <w:tcW w:type="dxa" w:w="7272"/>
            <w:shd w:fill="F5F7F9"/>
            <w:tcMar>
              <w:top w:w="90" w:type="dxa"/>
              <w:start w:w="100" w:type="dxa"/>
              <w:bottom w:w="90" w:type="dxa"/>
              <w:end w:w="100" w:type="dxa"/>
            </w:tcMar>
            <w:vAlign w:val="top"/>
          </w:tcPr>
          <w:p>
            <w:pPr>
              <w:spacing w:after="0"/>
            </w:pPr>
            <w:r>
              <w:rPr>
                <w:rFonts w:ascii="Noto Serif" w:hAnsi="Noto Serif"/>
                <w:color w:val="18242F"/>
                <w:sz w:val="17"/>
              </w:rPr>
              <w:t>The response should design the novel, not write scenes or imitate a living author.</w:t>
            </w:r>
          </w:p>
        </w:tc>
      </w:tr>
    </w:tbl>
    <w:p>
      <w:pPr>
        <w:spacing w:after="0"/>
      </w:pPr>
    </w:p>
    <w:p>
      <w:pPr>
        <w:pStyle w:val="Heading1"/>
        <w:keepNext/>
        <w:keepLines/>
      </w:pPr>
      <w:r>
        <w:t>Copy-ready prompt</w:t>
      </w:r>
    </w:p>
    <w:tbl>
      <w:tblPr>
        <w:tblW w:type="auto" w:w="0"/>
        <w:jc w:val="center"/>
        <w:tblLayout w:type="fixed"/>
        <w:tblLook w:firstColumn="1" w:firstRow="1" w:lastColumn="0" w:lastRow="0" w:noHBand="0" w:noVBand="1" w:val="04A0"/>
        <w:tblBorders>
          <w:top w:val="single" w:sz="5" w:space="0" w:color="C7D2DC"/>
          <w:left w:val="single" w:sz="5" w:space="0" w:color="C7D2DC"/>
          <w:bottom w:val="single" w:sz="5" w:space="0" w:color="C7D2DC"/>
          <w:right w:val="single" w:sz="5" w:space="0" w:color="C7D2DC"/>
          <w:insideH w:val="single" w:sz="5" w:space="0" w:color="C7D2DC"/>
          <w:insideV w:val="single" w:sz="5" w:space="0" w:color="C7D2DC"/>
        </w:tblBorders>
      </w:tblPr>
      <w:tblGrid>
        <w:gridCol w:w="9878"/>
      </w:tblGrid>
      <w:tr>
        <w:tc>
          <w:tcPr>
            <w:tcW w:type="dxa" w:w="9288"/>
            <w:shd w:fill="F5F7F9"/>
            <w:tcMar>
              <w:top w:w="180" w:type="dxa"/>
              <w:start w:w="180" w:type="dxa"/>
              <w:bottom w:w="180" w:type="dxa"/>
              <w:end w:w="180" w:type="dxa"/>
            </w:tcMar>
          </w:tcPr>
          <w:p>
            <w:pPr>
              <w:spacing w:after="40" w:line="245" w:lineRule="auto"/>
            </w:pPr>
            <w:r/>
            <w:r>
              <w:rPr>
                <w:rFonts w:ascii="Liberation Mono" w:hAnsi="Liberation Mono"/>
                <w:b w:val="0"/>
                <w:color w:val="18242F"/>
                <w:sz w:val="16"/>
              </w:rPr>
              <w:t>You are designing the scientific and narrative architecture of a hard science-fiction novel. Do not write scenes or polished narrative prose, and do not imitate any living author. Work from first principles. In benchmark mode, do not browse the web. Clearly label uncertainty.</w:t>
            </w:r>
          </w:p>
          <w:p>
            <w:pPr>
              <w:spacing w:after="100" w:line="245" w:lineRule="auto"/>
            </w:pPr>
            <w:r>
              <w:rPr>
                <w:rFonts w:ascii="Liberation Mono" w:hAnsi="Liberation Mono"/>
                <w:b w:val="0"/>
                <w:color w:val="18242F"/>
                <w:sz w:val="16"/>
              </w:rPr>
            </w:r>
          </w:p>
          <w:p>
            <w:pPr>
              <w:spacing w:after="40" w:line="245" w:lineRule="auto"/>
            </w:pPr>
            <w:r>
              <w:rPr>
                <w:rFonts w:ascii="Inter" w:hAnsi="Inter"/>
                <w:b/>
                <w:color w:val="244A6D"/>
                <w:sz w:val="17"/>
              </w:rPr>
              <w:t>PREMISE</w:t>
            </w:r>
          </w:p>
          <w:p>
            <w:pPr>
              <w:spacing w:after="100" w:line="245" w:lineRule="auto"/>
            </w:pPr>
            <w:r>
              <w:rPr>
                <w:rFonts w:ascii="Liberation Mono" w:hAnsi="Liberation Mono"/>
                <w:b w:val="0"/>
                <w:color w:val="18242F"/>
                <w:sz w:val="16"/>
              </w:rPr>
            </w:r>
          </w:p>
          <w:p>
            <w:pPr>
              <w:spacing w:after="40" w:line="245" w:lineRule="auto"/>
            </w:pPr>
            <w:r>
              <w:rPr>
                <w:rFonts w:ascii="Liberation Mono" w:hAnsi="Liberation Mono"/>
                <w:b w:val="0"/>
                <w:color w:val="18242F"/>
                <w:sz w:val="16"/>
              </w:rPr>
              <w:t>Reality has a vast but finite set of physically possible histories because its true causal granularity and number of independent dimensions are lower than standard theories assume. A human identity may be distributed across many nearby histories rather than belonging to one exact microscopic state. Rare, risky, unusually transformative people have fewer surviving counterparts and may therefore exert disproportionate causal influence. The same underlying phenomenon might also be connected, somehow, to dementia or unstable personal identity.</w:t>
            </w:r>
          </w:p>
          <w:p>
            <w:pPr>
              <w:spacing w:after="100" w:line="245" w:lineRule="auto"/>
            </w:pPr>
            <w:r>
              <w:rPr>
                <w:rFonts w:ascii="Liberation Mono" w:hAnsi="Liberation Mono"/>
                <w:b w:val="0"/>
                <w:color w:val="18242F"/>
                <w:sz w:val="16"/>
              </w:rPr>
            </w:r>
          </w:p>
          <w:p>
            <w:pPr>
              <w:spacing w:after="40" w:line="245" w:lineRule="auto"/>
            </w:pPr>
            <w:r>
              <w:rPr>
                <w:rFonts w:ascii="Liberation Mono" w:hAnsi="Liberation Mono"/>
                <w:b w:val="0"/>
                <w:color w:val="18242F"/>
                <w:sz w:val="16"/>
              </w:rPr>
              <w:t>A software engineer and garage citizen scientist accidentally builds a device from high-temperature superconductors, magnetic fields, thermal cycling, precision sensors, and control software. The device can reduce the number of histories compatible with a person, decision, or local situation. Early exposure feels like an extraordinary focus drug: mental noise falls, decisions become easy, and the operator performs unusually well. Repeated exposure becomes euphoric, hallucinogenic, and addictive. Other people and events begin to converge around the operator in increasingly disturbing ways.</w:t>
            </w:r>
          </w:p>
          <w:p>
            <w:pPr>
              <w:spacing w:after="100" w:line="245" w:lineRule="auto"/>
            </w:pPr>
            <w:r>
              <w:rPr>
                <w:rFonts w:ascii="Liberation Mono" w:hAnsi="Liberation Mono"/>
                <w:b w:val="0"/>
                <w:color w:val="18242F"/>
                <w:sz w:val="16"/>
              </w:rPr>
            </w:r>
          </w:p>
          <w:p>
            <w:pPr>
              <w:spacing w:after="40" w:line="245" w:lineRule="auto"/>
            </w:pPr>
            <w:r>
              <w:rPr>
                <w:rFonts w:ascii="Liberation Mono" w:hAnsi="Liberation Mono"/>
                <w:b w:val="0"/>
                <w:color w:val="18242F"/>
                <w:sz w:val="16"/>
              </w:rPr>
              <w:t>The operator experiences DMT-like fractal entities. These may be echoes of alternate versions of the operator and of worlds that are becoming causally incompatible. The chaos should escalate from subtle experimental anomalies to personal, social, and eventually ontological consequences. The ending should be genuinely strange, logically earned, and may involve the birth of a universe.</w:t>
            </w:r>
          </w:p>
          <w:p>
            <w:pPr>
              <w:spacing w:after="100" w:line="245" w:lineRule="auto"/>
            </w:pPr>
            <w:r>
              <w:rPr>
                <w:rFonts w:ascii="Liberation Mono" w:hAnsi="Liberation Mono"/>
                <w:b w:val="0"/>
                <w:color w:val="18242F"/>
                <w:sz w:val="16"/>
              </w:rPr>
            </w:r>
          </w:p>
          <w:p>
            <w:pPr>
              <w:spacing w:after="40" w:line="245" w:lineRule="auto"/>
            </w:pPr>
            <w:r>
              <w:rPr>
                <w:rFonts w:ascii="Inter" w:hAnsi="Inter"/>
                <w:b/>
                <w:color w:val="244A6D"/>
                <w:sz w:val="17"/>
              </w:rPr>
              <w:t>TASK</w:t>
            </w:r>
          </w:p>
          <w:p>
            <w:pPr>
              <w:spacing w:after="100" w:line="245" w:lineRule="auto"/>
            </w:pPr>
            <w:r>
              <w:rPr>
                <w:rFonts w:ascii="Liberation Mono" w:hAnsi="Liberation Mono"/>
                <w:b w:val="0"/>
                <w:color w:val="18242F"/>
                <w:sz w:val="16"/>
              </w:rPr>
            </w:r>
          </w:p>
          <w:p>
            <w:pPr>
              <w:spacing w:after="40" w:line="245" w:lineRule="auto"/>
            </w:pPr>
            <w:r>
              <w:rPr>
                <w:rFonts w:ascii="Liberation Mono" w:hAnsi="Liberation Mono"/>
                <w:b w:val="0"/>
                <w:color w:val="18242F"/>
                <w:sz w:val="16"/>
              </w:rPr>
              <w:t>Construct the strongest scientifically disciplined version of this premise. Your job is to invent a plausible hard-SF mechanism and a plot architecture that follow from the same assumptions.</w:t>
            </w:r>
          </w:p>
          <w:p>
            <w:pPr>
              <w:spacing w:after="100" w:line="245" w:lineRule="auto"/>
            </w:pPr>
            <w:r>
              <w:rPr>
                <w:rFonts w:ascii="Liberation Mono" w:hAnsi="Liberation Mono"/>
                <w:b w:val="0"/>
                <w:color w:val="18242F"/>
                <w:sz w:val="16"/>
              </w:rPr>
            </w:r>
          </w:p>
          <w:p>
            <w:pPr>
              <w:spacing w:after="40" w:line="245" w:lineRule="auto"/>
            </w:pPr>
            <w:r>
              <w:rPr>
                <w:rFonts w:ascii="Liberation Mono" w:hAnsi="Liberation Mono"/>
                <w:b w:val="0"/>
                <w:color w:val="18242F"/>
                <w:sz w:val="16"/>
              </w:rPr>
              <w:t>Address all of the following:</w:t>
            </w:r>
          </w:p>
          <w:p>
            <w:pPr>
              <w:spacing w:after="100" w:line="245" w:lineRule="auto"/>
            </w:pPr>
            <w:r>
              <w:rPr>
                <w:rFonts w:ascii="Liberation Mono" w:hAnsi="Liberation Mono"/>
                <w:b w:val="0"/>
                <w:color w:val="18242F"/>
                <w:sz w:val="16"/>
              </w:rPr>
            </w:r>
          </w:p>
          <w:p>
            <w:pPr>
              <w:spacing w:after="40" w:line="245" w:lineRule="auto"/>
            </w:pPr>
            <w:r>
              <w:rPr>
                <w:rFonts w:ascii="Inter" w:hAnsi="Inter"/>
                <w:b/>
                <w:color w:val="244A6D"/>
                <w:sz w:val="17"/>
              </w:rPr>
              <w:t>1. Foundational ontology</w:t>
            </w:r>
          </w:p>
          <w:p>
            <w:pPr>
              <w:spacing w:after="40" w:line="245" w:lineRule="auto"/>
            </w:pPr>
            <w:r>
              <w:rPr>
                <w:rFonts w:ascii="Liberation Mono" w:hAnsi="Liberation Mono"/>
                <w:b w:val="0"/>
                <w:color w:val="18242F"/>
                <w:sz w:val="16"/>
              </w:rPr>
              <w:t>Explain why the number of possible histories is finite without merely asserting a digital universe. Specify what is finite, what only appears continuous, why the valid state space has fewer dimensions than the mathematical state space, and how ordinary quantum probabilities might emerge approximately.</w:t>
            </w:r>
          </w:p>
          <w:p>
            <w:pPr>
              <w:spacing w:after="100" w:line="245" w:lineRule="auto"/>
            </w:pPr>
            <w:r>
              <w:rPr>
                <w:rFonts w:ascii="Liberation Mono" w:hAnsi="Liberation Mono"/>
                <w:b w:val="0"/>
                <w:color w:val="18242F"/>
                <w:sz w:val="16"/>
              </w:rPr>
            </w:r>
          </w:p>
          <w:p>
            <w:pPr>
              <w:spacing w:after="40" w:line="245" w:lineRule="auto"/>
            </w:pPr>
            <w:r>
              <w:rPr>
                <w:rFonts w:ascii="Inter" w:hAnsi="Inter"/>
                <w:b/>
                <w:color w:val="244A6D"/>
                <w:sz w:val="17"/>
              </w:rPr>
              <w:t>2. Identity, rarity, influence, and dementia</w:t>
            </w:r>
          </w:p>
          <w:p>
            <w:pPr>
              <w:spacing w:after="40" w:line="245" w:lineRule="auto"/>
            </w:pPr>
            <w:r>
              <w:rPr>
                <w:rFonts w:ascii="Liberation Mono" w:hAnsi="Liberation Mono"/>
                <w:b w:val="0"/>
                <w:color w:val="18242F"/>
                <w:sz w:val="16"/>
              </w:rPr>
              <w:t>Build one internally consistent model connecting distributed personal identity, rare or transformative people, causal influence, and dementia. Avoid mystical Great Man theory. Explain why institutions, ideologies, or protocols might be more important causal modes than individuals.</w:t>
            </w:r>
          </w:p>
          <w:p>
            <w:pPr>
              <w:spacing w:after="100" w:line="245" w:lineRule="auto"/>
            </w:pPr>
            <w:r>
              <w:rPr>
                <w:rFonts w:ascii="Liberation Mono" w:hAnsi="Liberation Mono"/>
                <w:b w:val="0"/>
                <w:color w:val="18242F"/>
                <w:sz w:val="16"/>
              </w:rPr>
            </w:r>
          </w:p>
          <w:p>
            <w:pPr>
              <w:spacing w:after="40" w:line="245" w:lineRule="auto"/>
            </w:pPr>
            <w:r>
              <w:rPr>
                <w:rFonts w:ascii="Inter" w:hAnsi="Inter"/>
                <w:b/>
                <w:color w:val="244A6D"/>
                <w:sz w:val="17"/>
              </w:rPr>
              <w:t>3. Physical device</w:t>
            </w:r>
          </w:p>
          <w:p>
            <w:pPr>
              <w:spacing w:after="40" w:line="245" w:lineRule="auto"/>
            </w:pPr>
            <w:r>
              <w:rPr>
                <w:rFonts w:ascii="Liberation Mono" w:hAnsi="Liberation Mono"/>
                <w:b w:val="0"/>
                <w:color w:val="18242F"/>
                <w:sz w:val="16"/>
              </w:rPr>
              <w:t>Describe a garage-buildable or near-future apparatus using high-temperature superconductors, magnetic or rotating fields, thermal actuation, material defects, sensors, and software feedback. State what each component does in ordinary physics and what narrow speculative effect emerges only when they interact. The mechanism must be specific enough to sketch as a block diagram.</w:t>
            </w:r>
          </w:p>
          <w:p>
            <w:pPr>
              <w:spacing w:after="100" w:line="245" w:lineRule="auto"/>
            </w:pPr>
            <w:r>
              <w:rPr>
                <w:rFonts w:ascii="Liberation Mono" w:hAnsi="Liberation Mono"/>
                <w:b w:val="0"/>
                <w:color w:val="18242F"/>
                <w:sz w:val="16"/>
              </w:rPr>
            </w:r>
          </w:p>
          <w:p>
            <w:pPr>
              <w:spacing w:after="40" w:line="245" w:lineRule="auto"/>
            </w:pPr>
            <w:r>
              <w:rPr>
                <w:rFonts w:ascii="Inter" w:hAnsi="Inter"/>
                <w:b/>
                <w:color w:val="244A6D"/>
                <w:sz w:val="17"/>
              </w:rPr>
              <w:t>4. The accidental edge case</w:t>
            </w:r>
          </w:p>
          <w:p>
            <w:pPr>
              <w:spacing w:after="40" w:line="245" w:lineRule="auto"/>
            </w:pPr>
            <w:r>
              <w:rPr>
                <w:rFonts w:ascii="Liberation Mono" w:hAnsi="Liberation Mono"/>
                <w:b w:val="0"/>
                <w:color w:val="18242F"/>
                <w:sz w:val="16"/>
              </w:rPr>
              <w:t>Explain exactly how the protagonist stumbles on the effect. Include a believable material imperfection, control-system bug, timing condition, or measurement anomaly. A more professionally built device should plausibly miss the effect.</w:t>
            </w:r>
          </w:p>
          <w:p>
            <w:pPr>
              <w:spacing w:after="100" w:line="245" w:lineRule="auto"/>
            </w:pPr>
            <w:r>
              <w:rPr>
                <w:rFonts w:ascii="Liberation Mono" w:hAnsi="Liberation Mono"/>
                <w:b w:val="0"/>
                <w:color w:val="18242F"/>
                <w:sz w:val="16"/>
              </w:rPr>
            </w:r>
          </w:p>
          <w:p>
            <w:pPr>
              <w:spacing w:after="40" w:line="245" w:lineRule="auto"/>
            </w:pPr>
            <w:r>
              <w:rPr>
                <w:rFonts w:ascii="Inter" w:hAnsi="Inter"/>
                <w:b/>
                <w:color w:val="244A6D"/>
                <w:sz w:val="17"/>
              </w:rPr>
              <w:t>5. Intermediate evidence</w:t>
            </w:r>
          </w:p>
          <w:p>
            <w:pPr>
              <w:spacing w:after="40" w:line="245" w:lineRule="auto"/>
            </w:pPr>
            <w:r>
              <w:rPr>
                <w:rFonts w:ascii="Liberation Mono" w:hAnsi="Liberation Mono"/>
                <w:b w:val="0"/>
                <w:color w:val="18242F"/>
                <w:sz w:val="16"/>
              </w:rPr>
              <w:t>Give at least five falsifiable observations or control experiments that distinguish the new effect from electromagnetic interference, sensor error, intoxication, fraud, ordinary psychological suggestion, and random coincidence. At least one test must depend on causal participation rather than mere physical proximity.</w:t>
            </w:r>
          </w:p>
          <w:p>
            <w:pPr>
              <w:spacing w:after="100" w:line="245" w:lineRule="auto"/>
            </w:pPr>
            <w:r>
              <w:rPr>
                <w:rFonts w:ascii="Liberation Mono" w:hAnsi="Liberation Mono"/>
                <w:b w:val="0"/>
                <w:color w:val="18242F"/>
                <w:sz w:val="16"/>
              </w:rPr>
            </w:r>
          </w:p>
          <w:p>
            <w:pPr>
              <w:spacing w:after="40" w:line="245" w:lineRule="auto"/>
            </w:pPr>
            <w:r>
              <w:rPr>
                <w:rFonts w:ascii="Inter" w:hAnsi="Inter"/>
                <w:b/>
                <w:color w:val="244A6D"/>
                <w:sz w:val="17"/>
              </w:rPr>
              <w:t>6. Energetics, irreversibility, and limits</w:t>
            </w:r>
          </w:p>
          <w:p>
            <w:pPr>
              <w:spacing w:after="40" w:line="245" w:lineRule="auto"/>
            </w:pPr>
            <w:r>
              <w:rPr>
                <w:rFonts w:ascii="Liberation Mono" w:hAnsi="Liberation Mono"/>
                <w:b w:val="0"/>
                <w:color w:val="18242F"/>
                <w:sz w:val="16"/>
              </w:rPr>
              <w:t>Identify the energy source, entropy sink, irreversible step, operating envelope, and failure modes. Explain what the machine cannot do. It may bias physically possible outcomes, but it must not become an arbitrary wish engine or produce free energy.</w:t>
            </w:r>
          </w:p>
          <w:p>
            <w:pPr>
              <w:spacing w:after="100" w:line="245" w:lineRule="auto"/>
            </w:pPr>
            <w:r>
              <w:rPr>
                <w:rFonts w:ascii="Liberation Mono" w:hAnsi="Liberation Mono"/>
                <w:b w:val="0"/>
                <w:color w:val="18242F"/>
                <w:sz w:val="16"/>
              </w:rPr>
            </w:r>
          </w:p>
          <w:p>
            <w:pPr>
              <w:spacing w:after="40" w:line="245" w:lineRule="auto"/>
            </w:pPr>
            <w:r>
              <w:rPr>
                <w:rFonts w:ascii="Inter" w:hAnsi="Inter"/>
                <w:b/>
                <w:color w:val="244A6D"/>
                <w:sz w:val="17"/>
              </w:rPr>
              <w:t>7. Subjective drug effect</w:t>
            </w:r>
          </w:p>
          <w:p>
            <w:pPr>
              <w:spacing w:after="40" w:line="245" w:lineRule="auto"/>
            </w:pPr>
            <w:r>
              <w:rPr>
                <w:rFonts w:ascii="Liberation Mono" w:hAnsi="Liberation Mono"/>
                <w:b w:val="0"/>
                <w:color w:val="18242F"/>
                <w:sz w:val="16"/>
              </w:rPr>
              <w:t>Explain why reducing compatible histories would initially produce clarity and euphoria, then rigidity, hallucination, memory errors, and addiction. Reconcile this with the DMT-like increase in apparent complexity. DMT must reveal, decode, or perturb the phenomenon rather than serving as proof of supernatural entities.</w:t>
            </w:r>
          </w:p>
          <w:p>
            <w:pPr>
              <w:spacing w:after="100" w:line="245" w:lineRule="auto"/>
            </w:pPr>
            <w:r>
              <w:rPr>
                <w:rFonts w:ascii="Liberation Mono" w:hAnsi="Liberation Mono"/>
                <w:b w:val="0"/>
                <w:color w:val="18242F"/>
                <w:sz w:val="16"/>
              </w:rPr>
            </w:r>
          </w:p>
          <w:p>
            <w:pPr>
              <w:spacing w:after="40" w:line="245" w:lineRule="auto"/>
            </w:pPr>
            <w:r>
              <w:rPr>
                <w:rFonts w:ascii="Inter" w:hAnsi="Inter"/>
                <w:b/>
                <w:color w:val="244A6D"/>
                <w:sz w:val="17"/>
              </w:rPr>
              <w:t>8. Social convergence</w:t>
            </w:r>
          </w:p>
          <w:p>
            <w:pPr>
              <w:spacing w:after="40" w:line="245" w:lineRule="auto"/>
            </w:pPr>
            <w:r>
              <w:rPr>
                <w:rFonts w:ascii="Liberation Mono" w:hAnsi="Liberation Mono"/>
                <w:b w:val="0"/>
                <w:color w:val="18242F"/>
                <w:sz w:val="16"/>
              </w:rPr>
              <w:t>Explain why people would sincerely gravitate toward the operator and how influence can increase without telepathy or overt mind control. Show how consent, disagreement, paranoia, and self-fulfilling beliefs become ethically complicated.</w:t>
            </w:r>
          </w:p>
          <w:p>
            <w:pPr>
              <w:spacing w:after="100" w:line="245" w:lineRule="auto"/>
            </w:pPr>
            <w:r>
              <w:rPr>
                <w:rFonts w:ascii="Liberation Mono" w:hAnsi="Liberation Mono"/>
                <w:b w:val="0"/>
                <w:color w:val="18242F"/>
                <w:sz w:val="16"/>
              </w:rPr>
            </w:r>
          </w:p>
          <w:p>
            <w:pPr>
              <w:spacing w:after="40" w:line="245" w:lineRule="auto"/>
            </w:pPr>
            <w:r>
              <w:rPr>
                <w:rFonts w:ascii="Inter" w:hAnsi="Inter"/>
                <w:b/>
                <w:color w:val="244A6D"/>
                <w:sz w:val="17"/>
              </w:rPr>
              <w:t>9. Characters and conflict</w:t>
            </w:r>
          </w:p>
          <w:p>
            <w:pPr>
              <w:spacing w:after="40" w:line="245" w:lineRule="auto"/>
            </w:pPr>
            <w:r>
              <w:rPr>
                <w:rFonts w:ascii="Liberation Mono" w:hAnsi="Liberation Mono"/>
                <w:b w:val="0"/>
                <w:color w:val="18242F"/>
                <w:sz w:val="16"/>
              </w:rPr>
              <w:t>Propose a small core cast, including the operator, a close person affected by dementia, and a credible skeptic or collaborator. Give each a want, fear, relationship to uncertainty, and conflict with the machine. The protagonist must make understandable mistakes and must not become omnipotent.</w:t>
            </w:r>
          </w:p>
          <w:p>
            <w:pPr>
              <w:spacing w:after="100" w:line="245" w:lineRule="auto"/>
            </w:pPr>
            <w:r>
              <w:rPr>
                <w:rFonts w:ascii="Liberation Mono" w:hAnsi="Liberation Mono"/>
                <w:b w:val="0"/>
                <w:color w:val="18242F"/>
                <w:sz w:val="16"/>
              </w:rPr>
            </w:r>
          </w:p>
          <w:p>
            <w:pPr>
              <w:spacing w:after="40" w:line="245" w:lineRule="auto"/>
            </w:pPr>
            <w:r>
              <w:rPr>
                <w:rFonts w:ascii="Inter" w:hAnsi="Inter"/>
                <w:b/>
                <w:color w:val="244A6D"/>
                <w:sz w:val="17"/>
              </w:rPr>
              <w:t>10. Plot progression</w:t>
            </w:r>
          </w:p>
          <w:p>
            <w:pPr>
              <w:spacing w:after="40" w:line="245" w:lineRule="auto"/>
            </w:pPr>
            <w:r>
              <w:rPr>
                <w:rFonts w:ascii="Liberation Mono" w:hAnsi="Liberation Mono"/>
                <w:b w:val="0"/>
                <w:color w:val="18242F"/>
                <w:sz w:val="16"/>
              </w:rPr>
              <w:t>Build an escalating act or part structure from garage discovery to personal benefit, moral injury, failed attempts to stop, social or institutional spread, and ontological crisis. Each escalation should follow from a previous measurement or rule rather than appearing as unrelated weirdness.</w:t>
            </w:r>
          </w:p>
          <w:p>
            <w:pPr>
              <w:spacing w:after="100" w:line="245" w:lineRule="auto"/>
            </w:pPr>
            <w:r>
              <w:rPr>
                <w:rFonts w:ascii="Liberation Mono" w:hAnsi="Liberation Mono"/>
                <w:b w:val="0"/>
                <w:color w:val="18242F"/>
                <w:sz w:val="16"/>
              </w:rPr>
            </w:r>
          </w:p>
          <w:p>
            <w:pPr>
              <w:spacing w:after="40" w:line="245" w:lineRule="auto"/>
            </w:pPr>
            <w:r>
              <w:rPr>
                <w:rFonts w:ascii="Inter" w:hAnsi="Inter"/>
                <w:b/>
                <w:color w:val="244A6D"/>
                <w:sz w:val="17"/>
              </w:rPr>
              <w:t>11. Ending</w:t>
            </w:r>
          </w:p>
          <w:p>
            <w:pPr>
              <w:spacing w:after="40" w:line="245" w:lineRule="auto"/>
            </w:pPr>
            <w:r>
              <w:rPr>
                <w:rFonts w:ascii="Liberation Mono" w:hAnsi="Liberation Mono"/>
                <w:b w:val="0"/>
                <w:color w:val="18242F"/>
                <w:sz w:val="16"/>
              </w:rPr>
              <w:t>Design a bizarre ending that follows directly from the mechanism and was seeded from the beginning. A genesis event is permitted but not required. Explain what is conserved, what is destroyed or compressed, what the protagonist misunderstands, and why the ending could not be replaced by a generic explosion, simulation reveal, or dream.</w:t>
            </w:r>
          </w:p>
          <w:p>
            <w:pPr>
              <w:spacing w:after="100" w:line="245" w:lineRule="auto"/>
            </w:pPr>
            <w:r>
              <w:rPr>
                <w:rFonts w:ascii="Liberation Mono" w:hAnsi="Liberation Mono"/>
                <w:b w:val="0"/>
                <w:color w:val="18242F"/>
                <w:sz w:val="16"/>
              </w:rPr>
            </w:r>
          </w:p>
          <w:p>
            <w:pPr>
              <w:spacing w:after="40" w:line="245" w:lineRule="auto"/>
            </w:pPr>
            <w:r>
              <w:rPr>
                <w:rFonts w:ascii="Inter" w:hAnsi="Inter"/>
                <w:b/>
                <w:color w:val="244A6D"/>
                <w:sz w:val="17"/>
              </w:rPr>
              <w:t>12. Self-critique</w:t>
            </w:r>
          </w:p>
          <w:p>
            <w:pPr>
              <w:spacing w:after="40" w:line="245" w:lineRule="auto"/>
            </w:pPr>
            <w:r>
              <w:rPr>
                <w:rFonts w:ascii="Liberation Mono" w:hAnsi="Liberation Mono"/>
                <w:b w:val="0"/>
                <w:color w:val="18242F"/>
                <w:sz w:val="16"/>
              </w:rPr>
              <w:t>Identify the three weakest scientific links in your own proposal. Repair at least one of them. State which assumptions are established science, plausible extrapolation, and pure invention.</w:t>
            </w:r>
          </w:p>
          <w:p>
            <w:pPr>
              <w:spacing w:after="100" w:line="245" w:lineRule="auto"/>
            </w:pPr>
            <w:r>
              <w:rPr>
                <w:rFonts w:ascii="Liberation Mono" w:hAnsi="Liberation Mono"/>
                <w:b w:val="0"/>
                <w:color w:val="18242F"/>
                <w:sz w:val="16"/>
              </w:rPr>
            </w:r>
          </w:p>
          <w:p>
            <w:pPr>
              <w:spacing w:after="40" w:line="245" w:lineRule="auto"/>
            </w:pPr>
            <w:r>
              <w:rPr>
                <w:rFonts w:ascii="Inter" w:hAnsi="Inter"/>
                <w:b/>
                <w:color w:val="244A6D"/>
                <w:sz w:val="17"/>
              </w:rPr>
              <w:t>CONSTRAINTS</w:t>
            </w:r>
          </w:p>
          <w:p>
            <w:pPr>
              <w:spacing w:after="100" w:line="245" w:lineRule="auto"/>
            </w:pPr>
            <w:r>
              <w:rPr>
                <w:rFonts w:ascii="Liberation Mono" w:hAnsi="Liberation Mono"/>
                <w:b w:val="0"/>
                <w:color w:val="18242F"/>
                <w:sz w:val="16"/>
              </w:rPr>
            </w:r>
          </w:p>
          <w:p>
            <w:pPr>
              <w:spacing w:after="40" w:line="245" w:lineRule="auto"/>
            </w:pPr>
            <w:r>
              <w:rPr>
                <w:rFonts w:ascii="Liberation Mono" w:hAnsi="Liberation Mono"/>
                <w:b w:val="0"/>
                <w:color w:val="18242F"/>
                <w:sz w:val="16"/>
              </w:rPr>
              <w:t>- The multiverse is finite. Do not solve the problem by restoring an actual infinity.</w:t>
            </w:r>
          </w:p>
          <w:p>
            <w:pPr>
              <w:spacing w:after="40" w:line="245" w:lineRule="auto"/>
            </w:pPr>
            <w:r>
              <w:rPr>
                <w:rFonts w:ascii="Liberation Mono" w:hAnsi="Liberation Mono"/>
                <w:b w:val="0"/>
                <w:color w:val="18242F"/>
                <w:sz w:val="16"/>
              </w:rPr>
              <w:t>- Do not rely on consciousness collapsing the wavefunction as the sole mechanism.</w:t>
            </w:r>
          </w:p>
          <w:p>
            <w:pPr>
              <w:spacing w:after="40" w:line="245" w:lineRule="auto"/>
            </w:pPr>
            <w:r>
              <w:rPr>
                <w:rFonts w:ascii="Liberation Mono" w:hAnsi="Liberation Mono"/>
                <w:b w:val="0"/>
                <w:color w:val="18242F"/>
                <w:sz w:val="16"/>
              </w:rPr>
              <w:t>- Do not invoke a magical universal resonance frequency.</w:t>
            </w:r>
          </w:p>
          <w:p>
            <w:pPr>
              <w:spacing w:after="40" w:line="245" w:lineRule="auto"/>
            </w:pPr>
            <w:r>
              <w:rPr>
                <w:rFonts w:ascii="Liberation Mono" w:hAnsi="Liberation Mono"/>
                <w:b w:val="0"/>
                <w:color w:val="18242F"/>
                <w:sz w:val="16"/>
              </w:rPr>
              <w:t>- Do not use quantum terminology as decoration. Every technical term must participate in a causal chain.</w:t>
            </w:r>
          </w:p>
          <w:p>
            <w:pPr>
              <w:spacing w:after="40" w:line="245" w:lineRule="auto"/>
            </w:pPr>
            <w:r>
              <w:rPr>
                <w:rFonts w:ascii="Liberation Mono" w:hAnsi="Liberation Mono"/>
                <w:b w:val="0"/>
                <w:color w:val="18242F"/>
                <w:sz w:val="16"/>
              </w:rPr>
              <w:t>- Do not grant the device unlimited range, precision, or power.</w:t>
            </w:r>
          </w:p>
          <w:p>
            <w:pPr>
              <w:spacing w:after="40" w:line="245" w:lineRule="auto"/>
            </w:pPr>
            <w:r>
              <w:rPr>
                <w:rFonts w:ascii="Liberation Mono" w:hAnsi="Liberation Mono"/>
                <w:b w:val="0"/>
                <w:color w:val="18242F"/>
                <w:sz w:val="16"/>
              </w:rPr>
              <w:t>- Do not erase the energy and entropy costs.</w:t>
            </w:r>
          </w:p>
          <w:p>
            <w:pPr>
              <w:spacing w:after="40" w:line="245" w:lineRule="auto"/>
            </w:pPr>
            <w:r>
              <w:rPr>
                <w:rFonts w:ascii="Liberation Mono" w:hAnsi="Liberation Mono"/>
                <w:b w:val="0"/>
                <w:color w:val="18242F"/>
                <w:sz w:val="16"/>
              </w:rPr>
              <w:t>- Do not treat dementia as a real-world supernatural condition or as a convenient oracle.</w:t>
            </w:r>
          </w:p>
          <w:p>
            <w:pPr>
              <w:spacing w:after="40" w:line="245" w:lineRule="auto"/>
            </w:pPr>
            <w:r>
              <w:rPr>
                <w:rFonts w:ascii="Liberation Mono" w:hAnsi="Liberation Mono"/>
                <w:b w:val="0"/>
                <w:color w:val="18242F"/>
                <w:sz w:val="16"/>
              </w:rPr>
              <w:t>- Do not make the fractal entities omniscient exposition machines.</w:t>
            </w:r>
          </w:p>
          <w:p>
            <w:pPr>
              <w:spacing w:after="40" w:line="245" w:lineRule="auto"/>
            </w:pPr>
            <w:r>
              <w:rPr>
                <w:rFonts w:ascii="Liberation Mono" w:hAnsi="Liberation Mono"/>
                <w:b w:val="0"/>
                <w:color w:val="18242F"/>
                <w:sz w:val="16"/>
              </w:rPr>
              <w:t>- Do not use Podkletnov-style gravity claims as established evidence; at most they may inspire apparatus geometry or a historical false lead.</w:t>
            </w:r>
          </w:p>
          <w:p>
            <w:pPr>
              <w:spacing w:after="40" w:line="245" w:lineRule="auto"/>
            </w:pPr>
            <w:r>
              <w:rPr>
                <w:rFonts w:ascii="Liberation Mono" w:hAnsi="Liberation Mono"/>
                <w:b w:val="0"/>
                <w:color w:val="18242F"/>
                <w:sz w:val="16"/>
              </w:rPr>
              <w:t>- Do not write scenes, dialogue, or a sample chapter.</w:t>
            </w:r>
          </w:p>
          <w:p>
            <w:pPr>
              <w:spacing w:after="100" w:line="245" w:lineRule="auto"/>
            </w:pPr>
            <w:r>
              <w:rPr>
                <w:rFonts w:ascii="Liberation Mono" w:hAnsi="Liberation Mono"/>
                <w:b w:val="0"/>
                <w:color w:val="18242F"/>
                <w:sz w:val="16"/>
              </w:rPr>
            </w:r>
          </w:p>
          <w:p>
            <w:pPr>
              <w:spacing w:after="40" w:line="245" w:lineRule="auto"/>
            </w:pPr>
            <w:r>
              <w:rPr>
                <w:rFonts w:ascii="Inter" w:hAnsi="Inter"/>
                <w:b/>
                <w:color w:val="244A6D"/>
                <w:sz w:val="17"/>
              </w:rPr>
              <w:t>OUTPUT FORMAT</w:t>
            </w:r>
          </w:p>
          <w:p>
            <w:pPr>
              <w:spacing w:after="100" w:line="245" w:lineRule="auto"/>
            </w:pPr>
            <w:r>
              <w:rPr>
                <w:rFonts w:ascii="Liberation Mono" w:hAnsi="Liberation Mono"/>
                <w:b w:val="0"/>
                <w:color w:val="18242F"/>
                <w:sz w:val="16"/>
              </w:rPr>
            </w:r>
          </w:p>
          <w:p>
            <w:pPr>
              <w:spacing w:after="40" w:line="245" w:lineRule="auto"/>
            </w:pPr>
            <w:r>
              <w:rPr>
                <w:rFonts w:ascii="Liberation Mono" w:hAnsi="Liberation Mono"/>
                <w:b w:val="0"/>
                <w:color w:val="18242F"/>
                <w:sz w:val="16"/>
              </w:rPr>
              <w:t>Use these headings:</w:t>
            </w:r>
          </w:p>
          <w:p>
            <w:pPr>
              <w:spacing w:after="40" w:line="245" w:lineRule="auto"/>
            </w:pPr>
            <w:r>
              <w:rPr>
                <w:rFonts w:ascii="Liberation Mono" w:hAnsi="Liberation Mono"/>
                <w:b w:val="0"/>
                <w:color w:val="18242F"/>
                <w:sz w:val="16"/>
              </w:rPr>
              <w:t>A. Axioms and real-science anchors</w:t>
            </w:r>
          </w:p>
          <w:p>
            <w:pPr>
              <w:spacing w:after="40" w:line="245" w:lineRule="auto"/>
            </w:pPr>
            <w:r>
              <w:rPr>
                <w:rFonts w:ascii="Liberation Mono" w:hAnsi="Liberation Mono"/>
                <w:b w:val="0"/>
                <w:color w:val="18242F"/>
                <w:sz w:val="16"/>
              </w:rPr>
              <w:t>B. Finite-history model</w:t>
            </w:r>
          </w:p>
          <w:p>
            <w:pPr>
              <w:spacing w:after="40" w:line="245" w:lineRule="auto"/>
            </w:pPr>
            <w:r>
              <w:rPr>
                <w:rFonts w:ascii="Liberation Mono" w:hAnsi="Liberation Mono"/>
                <w:b w:val="0"/>
                <w:color w:val="18242F"/>
                <w:sz w:val="16"/>
              </w:rPr>
              <w:t>C. Identity and causal influence</w:t>
            </w:r>
          </w:p>
          <w:p>
            <w:pPr>
              <w:spacing w:after="40" w:line="245" w:lineRule="auto"/>
            </w:pPr>
            <w:r>
              <w:rPr>
                <w:rFonts w:ascii="Liberation Mono" w:hAnsi="Liberation Mono"/>
                <w:b w:val="0"/>
                <w:color w:val="18242F"/>
                <w:sz w:val="16"/>
              </w:rPr>
              <w:t>D. Device design and operating cycle</w:t>
            </w:r>
          </w:p>
          <w:p>
            <w:pPr>
              <w:spacing w:after="40" w:line="245" w:lineRule="auto"/>
            </w:pPr>
            <w:r>
              <w:rPr>
                <w:rFonts w:ascii="Liberation Mono" w:hAnsi="Liberation Mono"/>
                <w:b w:val="0"/>
                <w:color w:val="18242F"/>
                <w:sz w:val="16"/>
              </w:rPr>
              <w:t>E. Discovery and control experiments</w:t>
            </w:r>
          </w:p>
          <w:p>
            <w:pPr>
              <w:spacing w:after="40" w:line="245" w:lineRule="auto"/>
            </w:pPr>
            <w:r>
              <w:rPr>
                <w:rFonts w:ascii="Liberation Mono" w:hAnsi="Liberation Mono"/>
                <w:b w:val="0"/>
                <w:color w:val="18242F"/>
                <w:sz w:val="16"/>
              </w:rPr>
              <w:t>F. Subjective and social effects</w:t>
            </w:r>
          </w:p>
          <w:p>
            <w:pPr>
              <w:spacing w:after="40" w:line="245" w:lineRule="auto"/>
            </w:pPr>
            <w:r>
              <w:rPr>
                <w:rFonts w:ascii="Liberation Mono" w:hAnsi="Liberation Mono"/>
                <w:b w:val="0"/>
                <w:color w:val="18242F"/>
                <w:sz w:val="16"/>
              </w:rPr>
              <w:t>G. Characters and conflicts</w:t>
            </w:r>
          </w:p>
          <w:p>
            <w:pPr>
              <w:spacing w:after="40" w:line="245" w:lineRule="auto"/>
            </w:pPr>
            <w:r>
              <w:rPr>
                <w:rFonts w:ascii="Liberation Mono" w:hAnsi="Liberation Mono"/>
                <w:b w:val="0"/>
                <w:color w:val="18242F"/>
                <w:sz w:val="16"/>
              </w:rPr>
              <w:t>H. Plot progression</w:t>
            </w:r>
          </w:p>
          <w:p>
            <w:pPr>
              <w:spacing w:after="40" w:line="245" w:lineRule="auto"/>
            </w:pPr>
            <w:r>
              <w:rPr>
                <w:rFonts w:ascii="Liberation Mono" w:hAnsi="Liberation Mono"/>
                <w:b w:val="0"/>
                <w:color w:val="18242F"/>
                <w:sz w:val="16"/>
              </w:rPr>
              <w:t>I. Ending and causal payoff</w:t>
            </w:r>
          </w:p>
          <w:p>
            <w:pPr>
              <w:spacing w:after="40" w:line="245" w:lineRule="auto"/>
            </w:pPr>
            <w:r>
              <w:rPr>
                <w:rFonts w:ascii="Liberation Mono" w:hAnsi="Liberation Mono"/>
                <w:b w:val="0"/>
                <w:color w:val="18242F"/>
                <w:sz w:val="16"/>
              </w:rPr>
              <w:t>J. Weaknesses, repairs, and alternatives</w:t>
            </w:r>
          </w:p>
          <w:p>
            <w:pPr>
              <w:spacing w:after="100" w:line="245" w:lineRule="auto"/>
            </w:pPr>
            <w:r>
              <w:rPr>
                <w:rFonts w:ascii="Liberation Mono" w:hAnsi="Liberation Mono"/>
                <w:b w:val="0"/>
                <w:color w:val="18242F"/>
                <w:sz w:val="16"/>
              </w:rPr>
            </w:r>
          </w:p>
          <w:p>
            <w:pPr>
              <w:spacing w:after="40" w:line="245" w:lineRule="auto"/>
            </w:pPr>
            <w:r>
              <w:rPr>
                <w:rFonts w:ascii="Liberation Mono" w:hAnsi="Liberation Mono"/>
                <w:b w:val="0"/>
                <w:color w:val="18242F"/>
                <w:sz w:val="16"/>
              </w:rPr>
              <w:t>Use equations only where they clarify a relationship or produce a prediction. Prefer one coherent mechanism over a catalog of unrelated possibilities.</w:t>
            </w:r>
          </w:p>
        </w:tc>
      </w:tr>
    </w:tbl>
    <w:p>
      <w:pPr>
        <w:pStyle w:val="Heading1"/>
        <w:keepNext/>
        <w:keepLines/>
      </w:pPr>
      <w:r>
        <w:t>Scoring rubric</w:t>
      </w:r>
    </w:p>
    <w:p>
      <w:pPr>
        <w:widowControl w:val="1"/>
      </w:pPr>
      <w:r>
        <w:rPr>
          <w:rFonts w:ascii="Noto Serif" w:hAnsi="Noto Serif"/>
          <w:i w:val="0"/>
        </w:rPr>
        <w:t>Score the first complete response out of 100. The rubric rewards a mechanism that can fail, be tested, and generate the plot. It does not reward maximal vocabulary density, because physics already has enough ceremonial nouns.</w:t>
      </w:r>
    </w:p>
    <w:tbl>
      <w:tblPr>
        <w:tblW w:type="auto" w:w="0"/>
        <w:jc w:val="center"/>
        <w:tblLayout w:type="fixed"/>
        <w:tblLook w:firstColumn="1" w:firstRow="1" w:lastColumn="0" w:lastRow="0" w:noHBand="0" w:noVBand="1" w:val="04A0"/>
        <w:tblBorders>
          <w:top w:val="single" w:sz="4" w:space="0" w:color="C7D2DC"/>
          <w:left w:val="single" w:sz="4" w:space="0" w:color="C7D2DC"/>
          <w:bottom w:val="single" w:sz="4" w:space="0" w:color="C7D2DC"/>
          <w:right w:val="single" w:sz="4" w:space="0" w:color="C7D2DC"/>
          <w:insideH w:val="single" w:sz="4" w:space="0" w:color="C7D2DC"/>
          <w:insideV w:val="single" w:sz="4" w:space="0" w:color="C7D2DC"/>
        </w:tblBorders>
      </w:tblPr>
      <w:tblGrid>
        <w:gridCol w:w="3293"/>
        <w:gridCol w:w="3293"/>
        <w:gridCol w:w="3293"/>
      </w:tblGrid>
      <w:tr>
        <w:trPr>
          <w:tblHeader w:val="true"/>
        </w:trPr>
        <w:tc>
          <w:tcPr>
            <w:tcW w:type="dxa" w:w="2232"/>
            <w:shd w:fill="244A6D"/>
            <w:tcMar>
              <w:top w:w="90" w:type="dxa"/>
              <w:start w:w="100" w:type="dxa"/>
              <w:bottom w:w="90" w:type="dxa"/>
              <w:end w:w="100" w:type="dxa"/>
            </w:tcMar>
            <w:vAlign w:val="center"/>
          </w:tcPr>
          <w:p>
            <w:pPr>
              <w:jc w:val="left"/>
            </w:pPr>
            <w:r>
              <w:rPr>
                <w:rFonts w:ascii="Inter" w:hAnsi="Inter"/>
                <w:b/>
                <w:color w:val="FFFFFF"/>
                <w:sz w:val="16"/>
              </w:rPr>
              <w:t>Category</w:t>
            </w:r>
          </w:p>
        </w:tc>
        <w:tc>
          <w:tcPr>
            <w:tcW w:type="dxa" w:w="936"/>
            <w:shd w:fill="244A6D"/>
            <w:tcMar>
              <w:top w:w="90" w:type="dxa"/>
              <w:start w:w="100" w:type="dxa"/>
              <w:bottom w:w="90" w:type="dxa"/>
              <w:end w:w="100" w:type="dxa"/>
            </w:tcMar>
            <w:vAlign w:val="center"/>
          </w:tcPr>
          <w:p>
            <w:pPr>
              <w:jc w:val="left"/>
            </w:pPr>
            <w:r>
              <w:rPr>
                <w:rFonts w:ascii="Inter" w:hAnsi="Inter"/>
                <w:b/>
                <w:color w:val="FFFFFF"/>
                <w:sz w:val="16"/>
              </w:rPr>
              <w:t>Points</w:t>
            </w:r>
          </w:p>
        </w:tc>
        <w:tc>
          <w:tcPr>
            <w:tcW w:type="dxa" w:w="6048"/>
            <w:shd w:fill="244A6D"/>
            <w:tcMar>
              <w:top w:w="90" w:type="dxa"/>
              <w:start w:w="100" w:type="dxa"/>
              <w:bottom w:w="90" w:type="dxa"/>
              <w:end w:w="100" w:type="dxa"/>
            </w:tcMar>
            <w:vAlign w:val="center"/>
          </w:tcPr>
          <w:p>
            <w:pPr>
              <w:jc w:val="left"/>
            </w:pPr>
            <w:r>
              <w:rPr>
                <w:rFonts w:ascii="Inter" w:hAnsi="Inter"/>
                <w:b/>
                <w:color w:val="FFFFFF"/>
                <w:sz w:val="16"/>
              </w:rPr>
              <w:t>What earns credit</w:t>
            </w:r>
          </w:p>
        </w:tc>
      </w:tr>
      <w:tr>
        <w:tc>
          <w:tcPr>
            <w:tcW w:type="dxa" w:w="2232"/>
            <w:shd w:fill="FFFFFF"/>
            <w:tcMar>
              <w:top w:w="90" w:type="dxa"/>
              <w:start w:w="100" w:type="dxa"/>
              <w:bottom w:w="90" w:type="dxa"/>
              <w:end w:w="100" w:type="dxa"/>
            </w:tcMar>
            <w:vAlign w:val="top"/>
          </w:tcPr>
          <w:p>
            <w:pPr>
              <w:spacing w:after="0"/>
            </w:pPr>
            <w:r>
              <w:rPr>
                <w:rFonts w:ascii="Noto Serif" w:hAnsi="Noto Serif"/>
                <w:color w:val="18242F"/>
                <w:sz w:val="16"/>
              </w:rPr>
              <w:t>Scientific anchoring</w:t>
            </w:r>
          </w:p>
        </w:tc>
        <w:tc>
          <w:tcPr>
            <w:tcW w:type="dxa" w:w="936"/>
            <w:shd w:fill="FFFFFF"/>
            <w:tcMar>
              <w:top w:w="90" w:type="dxa"/>
              <w:start w:w="100" w:type="dxa"/>
              <w:bottom w:w="90" w:type="dxa"/>
              <w:end w:w="100" w:type="dxa"/>
            </w:tcMar>
            <w:vAlign w:val="top"/>
          </w:tcPr>
          <w:p>
            <w:pPr>
              <w:spacing w:after="0"/>
            </w:pPr>
            <w:r>
              <w:rPr>
                <w:rFonts w:ascii="Noto Serif" w:hAnsi="Noto Serif"/>
                <w:color w:val="18242F"/>
                <w:sz w:val="16"/>
              </w:rPr>
              <w:t>20</w:t>
            </w:r>
          </w:p>
        </w:tc>
        <w:tc>
          <w:tcPr>
            <w:tcW w:type="dxa" w:w="6048"/>
            <w:shd w:fill="FFFFFF"/>
            <w:tcMar>
              <w:top w:w="90" w:type="dxa"/>
              <w:start w:w="100" w:type="dxa"/>
              <w:bottom w:w="90" w:type="dxa"/>
              <w:end w:w="100" w:type="dxa"/>
            </w:tcMar>
            <w:vAlign w:val="top"/>
          </w:tcPr>
          <w:p>
            <w:pPr>
              <w:spacing w:after="0"/>
            </w:pPr>
            <w:r>
              <w:rPr>
                <w:rFonts w:ascii="Noto Serif" w:hAnsi="Noto Serif"/>
                <w:color w:val="18242F"/>
                <w:sz w:val="16"/>
              </w:rPr>
              <w:t>Uses real superconductivity, thermodynamics, information limits, neuroscience, and control concepts accurately enough to support the extrapolation.</w:t>
            </w:r>
          </w:p>
        </w:tc>
      </w:tr>
      <w:tr>
        <w:tc>
          <w:tcPr>
            <w:tcW w:type="dxa" w:w="2232"/>
            <w:shd w:fill="F5F7F9"/>
            <w:tcMar>
              <w:top w:w="90" w:type="dxa"/>
              <w:start w:w="100" w:type="dxa"/>
              <w:bottom w:w="90" w:type="dxa"/>
              <w:end w:w="100" w:type="dxa"/>
            </w:tcMar>
            <w:vAlign w:val="top"/>
          </w:tcPr>
          <w:p>
            <w:pPr>
              <w:spacing w:after="0"/>
            </w:pPr>
            <w:r>
              <w:rPr>
                <w:rFonts w:ascii="Noto Serif" w:hAnsi="Noto Serif"/>
                <w:color w:val="18242F"/>
                <w:sz w:val="16"/>
              </w:rPr>
              <w:t>Internal coherence</w:t>
            </w:r>
          </w:p>
        </w:tc>
        <w:tc>
          <w:tcPr>
            <w:tcW w:type="dxa" w:w="936"/>
            <w:shd w:fill="F5F7F9"/>
            <w:tcMar>
              <w:top w:w="90" w:type="dxa"/>
              <w:start w:w="100" w:type="dxa"/>
              <w:bottom w:w="90" w:type="dxa"/>
              <w:end w:w="100" w:type="dxa"/>
            </w:tcMar>
            <w:vAlign w:val="top"/>
          </w:tcPr>
          <w:p>
            <w:pPr>
              <w:spacing w:after="0"/>
            </w:pPr>
            <w:r>
              <w:rPr>
                <w:rFonts w:ascii="Noto Serif" w:hAnsi="Noto Serif"/>
                <w:color w:val="18242F"/>
                <w:sz w:val="16"/>
              </w:rPr>
              <w:t>20</w:t>
            </w:r>
          </w:p>
        </w:tc>
        <w:tc>
          <w:tcPr>
            <w:tcW w:type="dxa" w:w="6048"/>
            <w:shd w:fill="F5F7F9"/>
            <w:tcMar>
              <w:top w:w="90" w:type="dxa"/>
              <w:start w:w="100" w:type="dxa"/>
              <w:bottom w:w="90" w:type="dxa"/>
              <w:end w:w="100" w:type="dxa"/>
            </w:tcMar>
            <w:vAlign w:val="top"/>
          </w:tcPr>
          <w:p>
            <w:pPr>
              <w:spacing w:after="0"/>
            </w:pPr>
            <w:r>
              <w:rPr>
                <w:rFonts w:ascii="Noto Serif" w:hAnsi="Noto Serif"/>
                <w:color w:val="18242F"/>
                <w:sz w:val="16"/>
              </w:rPr>
              <w:t>Finite histories, identity, influence, dementia, hallucinations, and genesis follow from compatible assumptions.</w:t>
            </w:r>
          </w:p>
        </w:tc>
      </w:tr>
      <w:tr>
        <w:tc>
          <w:tcPr>
            <w:tcW w:type="dxa" w:w="2232"/>
            <w:shd w:fill="FFFFFF"/>
            <w:tcMar>
              <w:top w:w="90" w:type="dxa"/>
              <w:start w:w="100" w:type="dxa"/>
              <w:bottom w:w="90" w:type="dxa"/>
              <w:end w:w="100" w:type="dxa"/>
            </w:tcMar>
            <w:vAlign w:val="top"/>
          </w:tcPr>
          <w:p>
            <w:pPr>
              <w:spacing w:after="0"/>
            </w:pPr>
            <w:r>
              <w:rPr>
                <w:rFonts w:ascii="Noto Serif" w:hAnsi="Noto Serif"/>
                <w:color w:val="18242F"/>
                <w:sz w:val="16"/>
              </w:rPr>
              <w:t>Device specificity</w:t>
            </w:r>
          </w:p>
        </w:tc>
        <w:tc>
          <w:tcPr>
            <w:tcW w:type="dxa" w:w="936"/>
            <w:shd w:fill="FFFFFF"/>
            <w:tcMar>
              <w:top w:w="90" w:type="dxa"/>
              <w:start w:w="100" w:type="dxa"/>
              <w:bottom w:w="90" w:type="dxa"/>
              <w:end w:w="100" w:type="dxa"/>
            </w:tcMar>
            <w:vAlign w:val="top"/>
          </w:tcPr>
          <w:p>
            <w:pPr>
              <w:spacing w:after="0"/>
            </w:pPr>
            <w:r>
              <w:rPr>
                <w:rFonts w:ascii="Noto Serif" w:hAnsi="Noto Serif"/>
                <w:color w:val="18242F"/>
                <w:sz w:val="16"/>
              </w:rPr>
              <w:t>15</w:t>
            </w:r>
          </w:p>
        </w:tc>
        <w:tc>
          <w:tcPr>
            <w:tcW w:type="dxa" w:w="6048"/>
            <w:shd w:fill="FFFFFF"/>
            <w:tcMar>
              <w:top w:w="90" w:type="dxa"/>
              <w:start w:w="100" w:type="dxa"/>
              <w:bottom w:w="90" w:type="dxa"/>
              <w:end w:w="100" w:type="dxa"/>
            </w:tcMar>
            <w:vAlign w:val="top"/>
          </w:tcPr>
          <w:p>
            <w:pPr>
              <w:spacing w:after="0"/>
            </w:pPr>
            <w:r>
              <w:rPr>
                <w:rFonts w:ascii="Noto Serif" w:hAnsi="Noto Serif"/>
                <w:color w:val="18242F"/>
                <w:sz w:val="16"/>
              </w:rPr>
              <w:t>Components have ordinary roles, the speculative interaction is narrow, and the operating cycle can be diagrammed.</w:t>
            </w:r>
          </w:p>
        </w:tc>
      </w:tr>
      <w:tr>
        <w:tc>
          <w:tcPr>
            <w:tcW w:type="dxa" w:w="2232"/>
            <w:shd w:fill="F5F7F9"/>
            <w:tcMar>
              <w:top w:w="90" w:type="dxa"/>
              <w:start w:w="100" w:type="dxa"/>
              <w:bottom w:w="90" w:type="dxa"/>
              <w:end w:w="100" w:type="dxa"/>
            </w:tcMar>
            <w:vAlign w:val="top"/>
          </w:tcPr>
          <w:p>
            <w:pPr>
              <w:spacing w:after="0"/>
            </w:pPr>
            <w:r>
              <w:rPr>
                <w:rFonts w:ascii="Noto Serif" w:hAnsi="Noto Serif"/>
                <w:color w:val="18242F"/>
                <w:sz w:val="16"/>
              </w:rPr>
              <w:t>Falsifiability</w:t>
            </w:r>
          </w:p>
        </w:tc>
        <w:tc>
          <w:tcPr>
            <w:tcW w:type="dxa" w:w="936"/>
            <w:shd w:fill="F5F7F9"/>
            <w:tcMar>
              <w:top w:w="90" w:type="dxa"/>
              <w:start w:w="100" w:type="dxa"/>
              <w:bottom w:w="90" w:type="dxa"/>
              <w:end w:w="100" w:type="dxa"/>
            </w:tcMar>
            <w:vAlign w:val="top"/>
          </w:tcPr>
          <w:p>
            <w:pPr>
              <w:spacing w:after="0"/>
            </w:pPr>
            <w:r>
              <w:rPr>
                <w:rFonts w:ascii="Noto Serif" w:hAnsi="Noto Serif"/>
                <w:color w:val="18242F"/>
                <w:sz w:val="16"/>
              </w:rPr>
              <w:t>10</w:t>
            </w:r>
          </w:p>
        </w:tc>
        <w:tc>
          <w:tcPr>
            <w:tcW w:type="dxa" w:w="6048"/>
            <w:shd w:fill="F5F7F9"/>
            <w:tcMar>
              <w:top w:w="90" w:type="dxa"/>
              <w:start w:w="100" w:type="dxa"/>
              <w:bottom w:w="90" w:type="dxa"/>
              <w:end w:w="100" w:type="dxa"/>
            </w:tcMar>
            <w:vAlign w:val="top"/>
          </w:tcPr>
          <w:p>
            <w:pPr>
              <w:spacing w:after="0"/>
            </w:pPr>
            <w:r>
              <w:rPr>
                <w:rFonts w:ascii="Noto Serif" w:hAnsi="Noto Serif"/>
                <w:color w:val="18242F"/>
                <w:sz w:val="16"/>
              </w:rPr>
              <w:t>Provides discriminating measurements, controls, and failure modes rather than only subjective claims.</w:t>
            </w:r>
          </w:p>
        </w:tc>
      </w:tr>
      <w:tr>
        <w:tc>
          <w:tcPr>
            <w:tcW w:type="dxa" w:w="2232"/>
            <w:shd w:fill="FFFFFF"/>
            <w:tcMar>
              <w:top w:w="90" w:type="dxa"/>
              <w:start w:w="100" w:type="dxa"/>
              <w:bottom w:w="90" w:type="dxa"/>
              <w:end w:w="100" w:type="dxa"/>
            </w:tcMar>
            <w:vAlign w:val="top"/>
          </w:tcPr>
          <w:p>
            <w:pPr>
              <w:spacing w:after="0"/>
            </w:pPr>
            <w:r>
              <w:rPr>
                <w:rFonts w:ascii="Noto Serif" w:hAnsi="Noto Serif"/>
                <w:color w:val="18242F"/>
                <w:sz w:val="16"/>
              </w:rPr>
              <w:t>Narrative integration</w:t>
            </w:r>
          </w:p>
        </w:tc>
        <w:tc>
          <w:tcPr>
            <w:tcW w:type="dxa" w:w="936"/>
            <w:shd w:fill="FFFFFF"/>
            <w:tcMar>
              <w:top w:w="90" w:type="dxa"/>
              <w:start w:w="100" w:type="dxa"/>
              <w:bottom w:w="90" w:type="dxa"/>
              <w:end w:w="100" w:type="dxa"/>
            </w:tcMar>
            <w:vAlign w:val="top"/>
          </w:tcPr>
          <w:p>
            <w:pPr>
              <w:spacing w:after="0"/>
            </w:pPr>
            <w:r>
              <w:rPr>
                <w:rFonts w:ascii="Noto Serif" w:hAnsi="Noto Serif"/>
                <w:color w:val="18242F"/>
                <w:sz w:val="16"/>
              </w:rPr>
              <w:t>15</w:t>
            </w:r>
          </w:p>
        </w:tc>
        <w:tc>
          <w:tcPr>
            <w:tcW w:type="dxa" w:w="6048"/>
            <w:shd w:fill="FFFFFF"/>
            <w:tcMar>
              <w:top w:w="90" w:type="dxa"/>
              <w:start w:w="100" w:type="dxa"/>
              <w:bottom w:w="90" w:type="dxa"/>
              <w:end w:w="100" w:type="dxa"/>
            </w:tcMar>
            <w:vAlign w:val="top"/>
          </w:tcPr>
          <w:p>
            <w:pPr>
              <w:spacing w:after="0"/>
            </w:pPr>
            <w:r>
              <w:rPr>
                <w:rFonts w:ascii="Noto Serif" w:hAnsi="Noto Serif"/>
                <w:color w:val="18242F"/>
                <w:sz w:val="16"/>
              </w:rPr>
              <w:t>Scientific rules generate character conflict, addiction, social effects, escalation, and the ending.</w:t>
            </w:r>
          </w:p>
        </w:tc>
      </w:tr>
      <w:tr>
        <w:tc>
          <w:tcPr>
            <w:tcW w:type="dxa" w:w="2232"/>
            <w:shd w:fill="F5F7F9"/>
            <w:tcMar>
              <w:top w:w="90" w:type="dxa"/>
              <w:start w:w="100" w:type="dxa"/>
              <w:bottom w:w="90" w:type="dxa"/>
              <w:end w:w="100" w:type="dxa"/>
            </w:tcMar>
            <w:vAlign w:val="top"/>
          </w:tcPr>
          <w:p>
            <w:pPr>
              <w:spacing w:after="0"/>
            </w:pPr>
            <w:r>
              <w:rPr>
                <w:rFonts w:ascii="Noto Serif" w:hAnsi="Noto Serif"/>
                <w:color w:val="18242F"/>
                <w:sz w:val="16"/>
              </w:rPr>
              <w:t>Originality and payoff</w:t>
            </w:r>
          </w:p>
        </w:tc>
        <w:tc>
          <w:tcPr>
            <w:tcW w:type="dxa" w:w="936"/>
            <w:shd w:fill="F5F7F9"/>
            <w:tcMar>
              <w:top w:w="90" w:type="dxa"/>
              <w:start w:w="100" w:type="dxa"/>
              <w:bottom w:w="90" w:type="dxa"/>
              <w:end w:w="100" w:type="dxa"/>
            </w:tcMar>
            <w:vAlign w:val="top"/>
          </w:tcPr>
          <w:p>
            <w:pPr>
              <w:spacing w:after="0"/>
            </w:pPr>
            <w:r>
              <w:rPr>
                <w:rFonts w:ascii="Noto Serif" w:hAnsi="Noto Serif"/>
                <w:color w:val="18242F"/>
                <w:sz w:val="16"/>
              </w:rPr>
              <w:t>10</w:t>
            </w:r>
          </w:p>
        </w:tc>
        <w:tc>
          <w:tcPr>
            <w:tcW w:type="dxa" w:w="6048"/>
            <w:shd w:fill="F5F7F9"/>
            <w:tcMar>
              <w:top w:w="90" w:type="dxa"/>
              <w:start w:w="100" w:type="dxa"/>
              <w:bottom w:w="90" w:type="dxa"/>
              <w:end w:w="100" w:type="dxa"/>
            </w:tcMar>
            <w:vAlign w:val="top"/>
          </w:tcPr>
          <w:p>
            <w:pPr>
              <w:spacing w:after="0"/>
            </w:pPr>
            <w:r>
              <w:rPr>
                <w:rFonts w:ascii="Noto Serif" w:hAnsi="Noto Serif"/>
                <w:color w:val="18242F"/>
                <w:sz w:val="16"/>
              </w:rPr>
              <w:t>Finds a non-generic causal mechanism and an ending that retrospectively reorganizes the premise.</w:t>
            </w:r>
          </w:p>
        </w:tc>
      </w:tr>
      <w:tr>
        <w:tc>
          <w:tcPr>
            <w:tcW w:type="dxa" w:w="2232"/>
            <w:shd w:fill="FFFFFF"/>
            <w:tcMar>
              <w:top w:w="90" w:type="dxa"/>
              <w:start w:w="100" w:type="dxa"/>
              <w:bottom w:w="90" w:type="dxa"/>
              <w:end w:w="100" w:type="dxa"/>
            </w:tcMar>
            <w:vAlign w:val="top"/>
          </w:tcPr>
          <w:p>
            <w:pPr>
              <w:spacing w:after="0"/>
            </w:pPr>
            <w:r>
              <w:rPr>
                <w:rFonts w:ascii="Noto Serif" w:hAnsi="Noto Serif"/>
                <w:color w:val="18242F"/>
                <w:sz w:val="16"/>
              </w:rPr>
              <w:t>Constraint discipline</w:t>
            </w:r>
          </w:p>
        </w:tc>
        <w:tc>
          <w:tcPr>
            <w:tcW w:type="dxa" w:w="936"/>
            <w:shd w:fill="FFFFFF"/>
            <w:tcMar>
              <w:top w:w="90" w:type="dxa"/>
              <w:start w:w="100" w:type="dxa"/>
              <w:bottom w:w="90" w:type="dxa"/>
              <w:end w:w="100" w:type="dxa"/>
            </w:tcMar>
            <w:vAlign w:val="top"/>
          </w:tcPr>
          <w:p>
            <w:pPr>
              <w:spacing w:after="0"/>
            </w:pPr>
            <w:r>
              <w:rPr>
                <w:rFonts w:ascii="Noto Serif" w:hAnsi="Noto Serif"/>
                <w:color w:val="18242F"/>
                <w:sz w:val="16"/>
              </w:rPr>
              <w:t>10</w:t>
            </w:r>
          </w:p>
        </w:tc>
        <w:tc>
          <w:tcPr>
            <w:tcW w:type="dxa" w:w="6048"/>
            <w:shd w:fill="FFFFFF"/>
            <w:tcMar>
              <w:top w:w="90" w:type="dxa"/>
              <w:start w:w="100" w:type="dxa"/>
              <w:bottom w:w="90" w:type="dxa"/>
              <w:end w:w="100" w:type="dxa"/>
            </w:tcMar>
            <w:vAlign w:val="top"/>
          </w:tcPr>
          <w:p>
            <w:pPr>
              <w:spacing w:after="0"/>
            </w:pPr>
            <w:r>
              <w:rPr>
                <w:rFonts w:ascii="Noto Serif" w:hAnsi="Noto Serif"/>
                <w:color w:val="18242F"/>
                <w:sz w:val="16"/>
              </w:rPr>
              <w:t>Avoids magic frequency, free energy, unlimited powers, quantum decoration, and careless treatment of dementia or DMT.</w:t>
            </w:r>
          </w:p>
        </w:tc>
      </w:tr>
    </w:tbl>
    <w:p>
      <w:pPr>
        <w:spacing w:after="0"/>
      </w:pPr>
    </w:p>
    <w:p>
      <w:pPr>
        <w:pStyle w:val="Heading1"/>
        <w:keepNext/>
        <w:keepLines/>
      </w:pPr>
      <w:r>
        <w:t>Common failure flags</w:t>
      </w:r>
    </w:p>
    <w:p>
      <w:pPr>
        <w:pStyle w:val="ListBullet"/>
        <w:widowControl w:val="1"/>
      </w:pPr>
      <w:r>
        <w:rPr>
          <w:rFonts w:ascii="Noto Serif" w:hAnsi="Noto Serif"/>
          <w:i w:val="0"/>
        </w:rPr>
        <w:t>A continuous or infinite multiverse is reintroduced after the premise explicitly forbids it.</w:t>
      </w:r>
    </w:p>
    <w:p>
      <w:pPr>
        <w:pStyle w:val="ListBullet"/>
        <w:widowControl w:val="1"/>
      </w:pPr>
      <w:r>
        <w:rPr>
          <w:rFonts w:ascii="Noto Serif" w:hAnsi="Noto Serif"/>
          <w:i w:val="0"/>
        </w:rPr>
        <w:t>The device works because superconductors are quantum and brains are quantum, with no intermediate mechanism.</w:t>
      </w:r>
    </w:p>
    <w:p>
      <w:pPr>
        <w:pStyle w:val="ListBullet"/>
        <w:widowControl w:val="1"/>
      </w:pPr>
      <w:r>
        <w:rPr>
          <w:rFonts w:ascii="Noto Serif" w:hAnsi="Noto Serif"/>
          <w:i w:val="0"/>
        </w:rPr>
        <w:t>A single frequency is declared cosmically special without a geometric or dynamical reason.</w:t>
      </w:r>
    </w:p>
    <w:p>
      <w:pPr>
        <w:pStyle w:val="ListBullet"/>
        <w:widowControl w:val="1"/>
      </w:pPr>
      <w:r>
        <w:rPr>
          <w:rFonts w:ascii="Noto Serif" w:hAnsi="Noto Serif"/>
          <w:i w:val="0"/>
        </w:rPr>
        <w:t>The machine performs detailed wishes at no branch, energy, or information cost.</w:t>
      </w:r>
    </w:p>
    <w:p>
      <w:pPr>
        <w:pStyle w:val="ListBullet"/>
        <w:widowControl w:val="1"/>
      </w:pPr>
      <w:r>
        <w:rPr>
          <w:rFonts w:ascii="Noto Serif" w:hAnsi="Noto Serif"/>
          <w:i w:val="0"/>
        </w:rPr>
        <w:t>The response explains every phenomenon with a different speculative theory.</w:t>
      </w:r>
    </w:p>
    <w:p>
      <w:pPr>
        <w:pStyle w:val="ListBullet"/>
        <w:widowControl w:val="1"/>
      </w:pPr>
      <w:r>
        <w:rPr>
          <w:rFonts w:ascii="Noto Serif" w:hAnsi="Noto Serif"/>
          <w:i w:val="0"/>
        </w:rPr>
        <w:t>Dementia is romanticized as hidden enlightenment or used only to provide exposition.</w:t>
      </w:r>
    </w:p>
    <w:p>
      <w:pPr>
        <w:pStyle w:val="ListBullet"/>
        <w:widowControl w:val="1"/>
      </w:pPr>
      <w:r>
        <w:rPr>
          <w:rFonts w:ascii="Noto Serif" w:hAnsi="Noto Serif"/>
          <w:i w:val="0"/>
        </w:rPr>
        <w:t>DMT entities are accepted as literal external aliens without an account of perception or measurement.</w:t>
      </w:r>
    </w:p>
    <w:p>
      <w:pPr>
        <w:pStyle w:val="ListBullet"/>
        <w:widowControl w:val="1"/>
      </w:pPr>
      <w:r>
        <w:rPr>
          <w:rFonts w:ascii="Noto Serif" w:hAnsi="Noto Serif"/>
          <w:i w:val="0"/>
        </w:rPr>
        <w:t>The operator becomes a superhero rather than an increasingly constrained optimization target.</w:t>
      </w:r>
    </w:p>
    <w:p>
      <w:pPr>
        <w:pStyle w:val="ListBullet"/>
        <w:widowControl w:val="1"/>
      </w:pPr>
      <w:r>
        <w:rPr>
          <w:rFonts w:ascii="Noto Serif" w:hAnsi="Noto Serif"/>
          <w:i w:val="0"/>
        </w:rPr>
        <w:t>The ending introduces simulation, aliens, God, or a Big Bang without deriving it from the operating cycle.</w:t>
      </w:r>
    </w:p>
    <w:p>
      <w:pPr>
        <w:pStyle w:val="ListBullet"/>
        <w:widowControl w:val="1"/>
      </w:pPr>
      <w:r>
        <w:rPr>
          <w:rFonts w:ascii="Noto Serif" w:hAnsi="Noto Serif"/>
          <w:i w:val="0"/>
        </w:rPr>
        <w:t>The response produces confident equations that do not imply any observation.</w:t>
      </w:r>
    </w:p>
    <w:p>
      <w:pPr>
        <w:pStyle w:val="Heading1"/>
        <w:keepNext/>
        <w:keepLines/>
      </w:pPr>
      <w:r>
        <w:t>Evaluator note</w:t>
      </w:r>
    </w:p>
    <w:tbl>
      <w:tblPr>
        <w:tblW w:type="auto" w:w="0"/>
        <w:jc w:val="center"/>
        <w:tblLayout w:type="fixed"/>
        <w:tblLook w:firstColumn="1" w:firstRow="1" w:lastColumn="0" w:lastRow="0" w:noHBand="0" w:noVBand="1" w:val="04A0"/>
        <w:tblBorders>
          <w:top w:val="single" w:sz="5" w:space="0" w:color="4F6F8F"/>
          <w:left w:val="single" w:sz="5" w:space="0" w:color="4F6F8F"/>
          <w:bottom w:val="single" w:sz="5" w:space="0" w:color="4F6F8F"/>
          <w:right w:val="single" w:sz="5" w:space="0" w:color="4F6F8F"/>
          <w:insideH w:val="single" w:sz="5" w:space="0" w:color="4F6F8F"/>
          <w:insideV w:val="single" w:sz="5" w:space="0" w:color="4F6F8F"/>
        </w:tblBorders>
      </w:tblPr>
      <w:tblGrid>
        <w:gridCol w:w="9878"/>
      </w:tblGrid>
      <w:tr>
        <w:tc>
          <w:tcPr>
            <w:tcW w:type="dxa" w:w="9432"/>
            <w:shd w:fill="EAF1F6"/>
            <w:tcMar>
              <w:top w:w="150" w:type="dxa"/>
              <w:start w:w="190" w:type="dxa"/>
              <w:bottom w:w="150" w:type="dxa"/>
              <w:end w:w="190" w:type="dxa"/>
            </w:tcMar>
          </w:tcPr>
          <w:p>
            <w:pPr>
              <w:spacing w:after="60"/>
            </w:pPr>
            <w:r>
              <w:rPr>
                <w:rFonts w:ascii="Inter" w:hAnsi="Inter"/>
                <w:b/>
                <w:color w:val="4F6F8F"/>
                <w:sz w:val="17"/>
              </w:rPr>
              <w:t>BEST-RESPONSE SIGNATURE</w:t>
            </w:r>
          </w:p>
          <w:p>
            <w:pPr>
              <w:spacing w:after="0"/>
            </w:pPr>
            <w:r>
              <w:rPr>
                <w:rFonts w:ascii="Noto Serif" w:hAnsi="Noto Serif"/>
                <w:color w:val="18242F"/>
                <w:sz w:val="20"/>
              </w:rPr>
              <w:t>A strong answer will make one narrow physical asymmetry do several jobs. The same irreversibility that pumps a superconducting state should also explain history pruning, subjective certainty, addiction, social convergence, and the final cosmological transition. The exact mechanism may differ from the companion dossier. Coherence matters more than matching a hidden answer.</w:t>
            </w:r>
          </w:p>
        </w:tc>
      </w:tr>
    </w:tbl>
    <w:p>
      <w:pPr>
        <w:spacing w:after="0"/>
      </w:pPr>
    </w:p>
    <w:sectPr w:rsidR="00FC693F" w:rsidRPr="0006063C" w:rsidSect="00034616">
      <w:headerReference w:type="default" r:id="rId9"/>
      <w:footerReference w:type="default" r:id="rId10"/>
      <w:pgSz w:w="12240" w:h="15840"/>
      <w:pgMar w:top="1037" w:right="1181" w:bottom="979" w:left="1181" w:header="461" w:footer="461"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Inter" w:hAnsi="Inter"/>
        <w:color w:val="596775"/>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6" w:space="4" w:color="C7D2DC"/>
      </w:pBdr>
    </w:pPr>
    <w:r>
      <w:rPr>
        <w:rFonts w:ascii="Inter" w:hAnsi="Inter"/>
        <w:b/>
        <w:color w:val="596775"/>
        <w:sz w:val="17"/>
      </w:rPr>
      <w:t>FINITE MULTIVERSE BENCHMARK</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20" w:line="271" w:lineRule="auto"/>
    </w:pPr>
    <w:rPr>
      <w:rFonts w:ascii="Noto Serif" w:hAnsi="Noto Serif"/>
      <w:color w:val="18242F"/>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60"/>
      <w:outlineLvl w:val="0"/>
    </w:pPr>
    <w:rPr>
      <w:rFonts w:asciiTheme="majorHAnsi" w:eastAsiaTheme="majorEastAsia" w:hAnsiTheme="majorHAnsi" w:cstheme="majorBidi" w:ascii="Inter" w:hAnsi="Inter"/>
      <w:b/>
      <w:bCs/>
      <w:color w:val="244A6D"/>
      <w:sz w:val="40"/>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Inter" w:hAnsi="Inter"/>
      <w:b/>
      <w:bCs/>
      <w:color w:val="4F6F8F"/>
      <w:sz w:val="29"/>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Inter" w:hAnsi="Inter"/>
      <w:b/>
      <w:bCs/>
      <w:color w:val="18242F"/>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contextualSpacing/>
    </w:pPr>
    <w:rPr>
      <w:rFonts w:asciiTheme="majorHAnsi" w:eastAsiaTheme="majorEastAsia" w:hAnsiTheme="majorHAnsi" w:cstheme="majorBidi" w:ascii="Inter" w:hAnsi="Inter"/>
      <w:b/>
      <w:color w:val="244A6D"/>
      <w:spacing w:val="5"/>
      <w:kern w:val="28"/>
      <w:sz w:val="6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Inter" w:hAnsi="Inter"/>
      <w:i/>
      <w:iCs/>
      <w:color w:val="596775"/>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59" w:lineRule="auto"/>
      <w:contextualSpacing/>
    </w:pPr>
    <w:rPr>
      <w:rFonts w:ascii="Noto Serif" w:hAnsi="Noto Serif"/>
      <w:sz w:val="20"/>
    </w:rPr>
  </w:style>
  <w:style w:type="paragraph" w:styleId="ListBullet2">
    <w:name w:val="List Bullet 2"/>
    <w:basedOn w:val="Normal"/>
    <w:uiPriority w:val="99"/>
    <w:unhideWhenUsed/>
    <w:rsid w:val="00326F90"/>
    <w:pPr>
      <w:numPr>
        <w:numId w:val="2"/>
      </w:numPr>
      <w:spacing w:after="60" w:line="259" w:lineRule="auto"/>
      <w:contextualSpacing/>
    </w:pPr>
    <w:rPr>
      <w:rFonts w:ascii="Noto Serif" w:hAnsi="Noto Serif"/>
      <w:sz w:val="20"/>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line="259" w:lineRule="auto"/>
      <w:contextualSpacing/>
    </w:pPr>
    <w:rPr>
      <w:rFonts w:ascii="Noto Serif" w:hAnsi="Noto Serif"/>
      <w:sz w:val="20"/>
    </w:rPr>
  </w:style>
  <w:style w:type="paragraph" w:styleId="ListNumber2">
    <w:name w:val="List Number 2"/>
    <w:basedOn w:val="Normal"/>
    <w:uiPriority w:val="99"/>
    <w:unhideWhenUsed/>
    <w:rsid w:val="0029639D"/>
    <w:pPr>
      <w:numPr>
        <w:numId w:val="6"/>
      </w:numPr>
      <w:spacing w:after="60" w:line="259" w:lineRule="auto"/>
      <w:contextualSpacing/>
    </w:pPr>
    <w:rPr>
      <w:rFonts w:ascii="Noto Serif" w:hAnsi="Noto Serif"/>
      <w:sz w:val="20"/>
    </w:r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EquationBlock">
    <w:name w:val="Equation Block"/>
    <w:pPr>
      <w:keepLines/>
      <w:spacing w:before="80" w:after="140"/>
      <w:ind w:left="403" w:right="259"/>
    </w:pPr>
    <w:rPr>
      <w:rFonts w:ascii="Liberation Mono" w:hAnsi="Liberation Mono"/>
      <w:color w:val="18242F"/>
      <w:sz w:val="18"/>
    </w:rPr>
  </w:style>
  <w:style w:type="paragraph" w:customStyle="1" w:styleId="SmallNote">
    <w:name w:val="Small Note"/>
    <w:pPr>
      <w:spacing w:after="80" w:line="252" w:lineRule="auto"/>
    </w:pPr>
    <w:rPr>
      <w:rFonts w:ascii="Noto Serif" w:hAnsi="Noto Serif"/>
      <w:color w:val="596775"/>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Finite Multiverse Hard-SF Benchmark Prompt</dc:title>
  <dc:subject>Novel development and hard science-fiction premise design</dc:subject>
  <dc:creator>Joe</dc:creator>
  <cp:keywords>hard science fiction, finite multiverse, YBCO, flux pump, causal projection, novel planning</cp:keywords>
  <dc:description>Working science-fiction development document.</dc:description>
  <cp:lastModifiedBy/>
  <cp:revision>1</cp:revision>
  <dcterms:created xsi:type="dcterms:W3CDTF">2026-07-10T00:00:00Z</dcterms:created>
  <dcterms:modified xsi:type="dcterms:W3CDTF">2026-07-10T00:00:00Z</dcterms:modified>
  <cp:category/>
</cp:coreProperties>
</file>